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4F" w:rsidRPr="0053220C" w:rsidRDefault="005E274F" w:rsidP="005E274F">
      <w:pPr>
        <w:pStyle w:val="Heading2"/>
        <w:ind w:left="360"/>
        <w:jc w:val="center"/>
        <w:rPr>
          <w:rFonts w:asciiTheme="majorHAnsi" w:hAnsiTheme="majorHAnsi"/>
          <w:color w:val="C00000"/>
          <w:sz w:val="40"/>
          <w:szCs w:val="40"/>
        </w:rPr>
      </w:pPr>
      <w:bookmarkStart w:id="0" w:name="_GoBack"/>
      <w:r w:rsidRPr="0053220C">
        <w:rPr>
          <w:rFonts w:asciiTheme="majorHAnsi" w:hAnsiTheme="majorHAnsi"/>
          <w:color w:val="C00000"/>
          <w:sz w:val="40"/>
          <w:szCs w:val="40"/>
        </w:rPr>
        <w:t xml:space="preserve">Yurt </w:t>
      </w:r>
      <w:r>
        <w:rPr>
          <w:rFonts w:asciiTheme="majorHAnsi" w:hAnsiTheme="majorHAnsi"/>
          <w:color w:val="C00000"/>
          <w:sz w:val="40"/>
          <w:szCs w:val="40"/>
        </w:rPr>
        <w:t>Barınma Taahhütnamesi</w:t>
      </w:r>
    </w:p>
    <w:bookmarkEnd w:id="0"/>
    <w:p w:rsidR="005E274F"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b/>
          <w:bCs/>
          <w:sz w:val="28"/>
          <w:szCs w:val="28"/>
        </w:rPr>
        <w:t>GİRİŞ</w:t>
      </w:r>
      <w:r w:rsidRPr="0053220C">
        <w:rPr>
          <w:rFonts w:ascii="Times New Roman" w:eastAsia="Times New Roman" w:hAnsi="Times New Roman" w:cs="Times New Roman"/>
          <w:sz w:val="28"/>
          <w:szCs w:val="28"/>
        </w:rPr>
        <w:t xml:space="preserve"> </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Barınma Taahhütnamesi tüm bir akademik yıl için geçerli olup, Işık Üniversitesi tarafından öğrencilerine sağlanan yurtların kullanımı ile ilgili temel koşul ve kuralları içermektedir.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1 - KOŞULLAR:</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Işık Üniversitesi; öğrencinin, bu belgede belirtilen koşullar altında kendisine tahsis edilen odada barınma hakkını kabul etmektedir. Öğrencilerin odalarına giriş yapmadan önce bu belgeyi imzalamaları gerekmektedir.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2 - YURTTAN AYRILMA SÜRECİ:</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Yurttan ayrılmak isteyen öğrencinin ayrılışı; oda anahtarlarını yurt yönetimine iade etmediği ve resmi ayrılma belgesini doldurmadığı sürece resmiyet kazanmaz. Herhangi bir sebeple, öğrencinin ilgili dönem sonundan önce bu belgeyi tek taraflı olarak feshetme hakkı bulunmamaktadır.</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3 - ODA ATAMALARI:</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Yurt yönetimi, odaların doluluklarını belirleme, odalardaki boşlukları doldurma, oda değişikliklerini onaylama, gerekli gördüğü durumlarda yer değişikliklerini yapma ve odalara atama yapma hakkını saklı tutmaktadır.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4 - ANAHTARLAR: </w:t>
      </w:r>
    </w:p>
    <w:p w:rsidR="005E274F" w:rsidRPr="005E274F"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Öğrenciye yurt yönetimi tarafından verilen tüm anahtarlar Işık Üniversitesi'nin malıdır ve başkalarının anahtarlarıyla değiştirilemez veya başka bir kimseye verilemez. Sözleşmenin feshi halinde, öğrenci sözleşmenin feshinin ardından 12 saat içerisinde tüm anahtarları yurt yönetimine iade etmekle yükümlüdür. Aksi takdirde, kapı kilidi, dolap kilidi, </w:t>
      </w:r>
      <w:proofErr w:type="spellStart"/>
      <w:r w:rsidRPr="0053220C">
        <w:rPr>
          <w:rFonts w:ascii="Times New Roman" w:eastAsia="Times New Roman" w:hAnsi="Times New Roman" w:cs="Times New Roman"/>
          <w:sz w:val="28"/>
          <w:szCs w:val="28"/>
        </w:rPr>
        <w:t>keson</w:t>
      </w:r>
      <w:proofErr w:type="spellEnd"/>
      <w:r w:rsidRPr="0053220C">
        <w:rPr>
          <w:rFonts w:ascii="Times New Roman" w:eastAsia="Times New Roman" w:hAnsi="Times New Roman" w:cs="Times New Roman"/>
          <w:sz w:val="28"/>
          <w:szCs w:val="28"/>
        </w:rPr>
        <w:t xml:space="preserve"> kilidi ve çalışma masası çekmecesi kilidi için Yurtlar Müdürlüğü tarafından her yıl belirlenecek bedel, öğrenciden talep </w:t>
      </w:r>
      <w:r w:rsidRPr="0053220C">
        <w:rPr>
          <w:rFonts w:ascii="Times New Roman" w:eastAsia="Times New Roman" w:hAnsi="Times New Roman" w:cs="Times New Roman"/>
          <w:sz w:val="28"/>
          <w:szCs w:val="28"/>
        </w:rPr>
        <w:lastRenderedPageBreak/>
        <w:t xml:space="preserve">edilecektir. Yurtta kalan öğrencilerin, anahtarlarını kaybetmeleri halinde de, aynı tutarlar tahsil edilecektir.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5 - YEMEK PİŞİRME:</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Yangın güvenliği, genel sağlık ve temizlik koşulları açısından odalarda yemek pişirilmesine izin verilmemektedir.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6 - YASAKLANMIŞ MALZEMELER:</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Öğrencilere tahsis edilen odalarda, </w:t>
      </w:r>
      <w:r w:rsidRPr="00070B1E">
        <w:rPr>
          <w:rFonts w:ascii="Times New Roman" w:eastAsia="Times New Roman" w:hAnsi="Times New Roman" w:cs="Times New Roman"/>
          <w:sz w:val="28"/>
          <w:szCs w:val="28"/>
        </w:rPr>
        <w:t>televizyon</w:t>
      </w:r>
      <w:r w:rsidRPr="0053220C">
        <w:rPr>
          <w:rFonts w:ascii="Times New Roman" w:eastAsia="Times New Roman" w:hAnsi="Times New Roman" w:cs="Times New Roman"/>
          <w:sz w:val="28"/>
          <w:szCs w:val="28"/>
        </w:rPr>
        <w:t xml:space="preserve">, klima cihazı, yemek pişirme cihazları, su ısıtıcıları, yanıcı ve patlayıcı maddeler ile ruhsatlı bile olsa, ateşli ve kesici silahların bulundurulması yasaktır. </w:t>
      </w:r>
    </w:p>
    <w:p w:rsidR="005E274F" w:rsidRPr="0053220C" w:rsidRDefault="005E274F" w:rsidP="005E274F">
      <w:pPr>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7 - YURTLAR YÖNETİMİNİN ODAYA GİRME HAKKI:</w:t>
      </w:r>
    </w:p>
    <w:p w:rsidR="005E274F" w:rsidRPr="0053220C" w:rsidRDefault="005E274F" w:rsidP="005E274F">
      <w:pPr>
        <w:jc w:val="both"/>
        <w:rPr>
          <w:rFonts w:ascii="Times New Roman" w:hAnsi="Times New Roman" w:cs="Times New Roman"/>
          <w:color w:val="FF0000"/>
          <w:sz w:val="28"/>
          <w:szCs w:val="28"/>
        </w:rPr>
      </w:pPr>
      <w:r w:rsidRPr="0053220C">
        <w:rPr>
          <w:rFonts w:ascii="Times New Roman" w:hAnsi="Times New Roman" w:cs="Times New Roman"/>
          <w:sz w:val="28"/>
          <w:szCs w:val="28"/>
        </w:rPr>
        <w:t xml:space="preserve">Işık Üniversitesi Yurtlar Müdürlüğü görevlileri, temizlik hizmetlerinden ayrı olarak, </w:t>
      </w:r>
      <w:r w:rsidRPr="00070B1E">
        <w:rPr>
          <w:rFonts w:ascii="Times New Roman" w:hAnsi="Times New Roman" w:cs="Times New Roman"/>
          <w:sz w:val="28"/>
          <w:szCs w:val="28"/>
        </w:rPr>
        <w:t xml:space="preserve">bakım-onarım, kural ihlallerinin tespiti veya </w:t>
      </w:r>
      <w:proofErr w:type="spellStart"/>
      <w:r w:rsidRPr="00070B1E">
        <w:rPr>
          <w:rFonts w:ascii="Times New Roman" w:hAnsi="Times New Roman" w:cs="Times New Roman"/>
          <w:sz w:val="28"/>
          <w:szCs w:val="28"/>
        </w:rPr>
        <w:t>kontrolu</w:t>
      </w:r>
      <w:proofErr w:type="spellEnd"/>
      <w:r w:rsidRPr="00070B1E">
        <w:rPr>
          <w:rFonts w:ascii="Times New Roman" w:hAnsi="Times New Roman" w:cs="Times New Roman"/>
          <w:sz w:val="28"/>
          <w:szCs w:val="28"/>
        </w:rPr>
        <w:t xml:space="preserve">, genel güvenlik ile acil bir durumun mevcut olması halinde odalara girme ve odalarda gerekli aramaları yapma hakkına sahiptir. Odalarda bulunan öğrenciler, bu esnada yurt görevlilerine yardımcı olmakla yükümlüdür. </w:t>
      </w:r>
    </w:p>
    <w:p w:rsidR="005E274F" w:rsidRPr="0053220C" w:rsidRDefault="005E274F" w:rsidP="005E274F">
      <w:pPr>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8 – YURT DEMİRBAŞLARI:</w:t>
      </w:r>
    </w:p>
    <w:p w:rsidR="005E274F"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Akademik yıl sonlarında veya yurttan kesin ayrılışlarda, odalardaki mobilya ve mefruşatın, eksiksiz ve hasarsız bir şekilde bırakılması gerekmektedir. Yurtlardan akademik yıl sonlarında veya kesin ayrılışlarda, Yurt Görevlileri tarafından öğrenciye ait yurt odasının kontrolü yapıldıktan sonra; Oda Teslim Formu doldurulmaktadır. Öğrencinin, bu formun doldurulmadan yurttan ayrılması halinde, tespit edilecek tüm zarar ve ziyandan öğrenci sorumlu tutulacaktır. Oda ve ortak alanlarda bulunan demirbaşların yerlerinin değiştirilmesi sadece Yurtlar Müdürlüğü tarafından veya Yurtlar Müdürlüğü’nün onayıyla yapılabilir. Bunun dışındaki yer değişimlerinde ilgili disiplin yönetmeliği uygulanacaktır.</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9 - YURDA VERİLEN ZARARLAR:</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 xml:space="preserve">Öğrenci, yurttaki veya odasındaki her türlü hasar ve kayıplardan sorumlu olacak ve onarım veya yenileme masraflarını Yurtlar Müdürlüğü tarafından belirtilen sürede ödemekle yükümlüdür. </w:t>
      </w:r>
      <w:r w:rsidRPr="00070B1E">
        <w:rPr>
          <w:rFonts w:ascii="Times New Roman" w:eastAsia="Times New Roman" w:hAnsi="Times New Roman" w:cs="Times New Roman"/>
          <w:sz w:val="28"/>
          <w:szCs w:val="28"/>
        </w:rPr>
        <w:t xml:space="preserve">Prensip olarak bu bedel depozito ücretinden düşülür, depozitonun üzerindeki bedel, öğrenci tarafından defaten ödenmek zorundadır. Eğer odalarda meydana gelecek kayıp ve hasarların sorumlusu (veya </w:t>
      </w:r>
      <w:r w:rsidRPr="0053220C">
        <w:rPr>
          <w:rFonts w:ascii="Times New Roman" w:eastAsia="Times New Roman" w:hAnsi="Times New Roman" w:cs="Times New Roman"/>
          <w:sz w:val="28"/>
          <w:szCs w:val="28"/>
        </w:rPr>
        <w:t xml:space="preserve">sorumluları) tespit edilemiyorsa, tüm oda sakinleri yapılan tamir veya yenileme masraflarından sorumlu olacaktır. Yukarıda belirtilen kayıp ve hasarların tazmini maksadıyla her akademik yılbaşında belirlenen depozito bedeli, belirtilen tarihler içinde ödenmelidir. Öğrencinin odasına veya yurda hasar vermeksizin yurttan ayrılması halinde; talepte bulunan öğrencilere bu bedel tam olarak iade edilecektir. </w:t>
      </w:r>
    </w:p>
    <w:p w:rsidR="005E274F"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b/>
          <w:bCs/>
          <w:sz w:val="28"/>
          <w:szCs w:val="28"/>
        </w:rPr>
        <w:t>Madde 10 - KİŞİSEL EŞYALAR</w:t>
      </w:r>
      <w:r w:rsidRPr="0053220C">
        <w:rPr>
          <w:rFonts w:ascii="Times New Roman" w:eastAsia="Times New Roman" w:hAnsi="Times New Roman" w:cs="Times New Roman"/>
          <w:sz w:val="28"/>
          <w:szCs w:val="28"/>
        </w:rPr>
        <w:t xml:space="preserve">. </w:t>
      </w:r>
      <w:r w:rsidRPr="00070B1E">
        <w:rPr>
          <w:rFonts w:ascii="Times New Roman" w:eastAsia="Times New Roman" w:hAnsi="Times New Roman" w:cs="Times New Roman"/>
          <w:sz w:val="28"/>
          <w:szCs w:val="28"/>
        </w:rPr>
        <w:t xml:space="preserve">Hiç bir şart altında, Işık Üniversitesi öğrencinin kişisel eşyalarının kaybolmasından veya zarar görmesinden sorumlu olmayacaktır. </w:t>
      </w:r>
    </w:p>
    <w:p w:rsidR="005E274F" w:rsidRPr="0053220C" w:rsidRDefault="005E274F" w:rsidP="005E274F">
      <w:pPr>
        <w:spacing w:before="100" w:beforeAutospacing="1" w:after="100" w:afterAutospacing="1"/>
        <w:jc w:val="both"/>
        <w:rPr>
          <w:rFonts w:ascii="Times New Roman" w:eastAsia="Times New Roman" w:hAnsi="Times New Roman" w:cs="Times New Roman"/>
          <w:b/>
          <w:bCs/>
          <w:sz w:val="28"/>
          <w:szCs w:val="28"/>
        </w:rPr>
      </w:pPr>
      <w:r w:rsidRPr="0053220C">
        <w:rPr>
          <w:rFonts w:ascii="Times New Roman" w:eastAsia="Times New Roman" w:hAnsi="Times New Roman" w:cs="Times New Roman"/>
          <w:b/>
          <w:bCs/>
          <w:sz w:val="28"/>
          <w:szCs w:val="28"/>
        </w:rPr>
        <w:t>Madde 11 - KURAL VE DÜZENLEMELER:</w:t>
      </w:r>
    </w:p>
    <w:p w:rsidR="005E274F" w:rsidRPr="0053220C" w:rsidRDefault="005E274F" w:rsidP="005E274F">
      <w:pPr>
        <w:spacing w:before="100" w:beforeAutospacing="1" w:after="100" w:afterAutospacing="1"/>
        <w:jc w:val="both"/>
        <w:rPr>
          <w:rFonts w:ascii="Times New Roman" w:eastAsia="Times New Roman" w:hAnsi="Times New Roman" w:cs="Times New Roman"/>
          <w:sz w:val="28"/>
          <w:szCs w:val="28"/>
        </w:rPr>
      </w:pPr>
      <w:r w:rsidRPr="0053220C">
        <w:rPr>
          <w:rFonts w:ascii="Times New Roman" w:eastAsia="Times New Roman" w:hAnsi="Times New Roman" w:cs="Times New Roman"/>
          <w:sz w:val="28"/>
          <w:szCs w:val="28"/>
        </w:rPr>
        <w:t>Öğrenci; Işık Üniversitesi ve Yurt Yönetiminin kural ve düzenlemelerine uymakla yükümlüdür. Yurt odalarında; Yurtlar Müdürlüğü’nün bilgisi ve izni olmadan misafir ağırlanamaz. Bu kural ve düzenlemelerin ihlal edilmesi, gerekli disiplin işlemlerinin(</w:t>
      </w:r>
      <w:proofErr w:type="spellStart"/>
      <w:r w:rsidRPr="0053220C">
        <w:rPr>
          <w:rFonts w:ascii="Times New Roman" w:eastAsia="Times New Roman" w:hAnsi="Times New Roman" w:cs="Times New Roman"/>
          <w:sz w:val="28"/>
          <w:szCs w:val="28"/>
        </w:rPr>
        <w:t>bkz</w:t>
      </w:r>
      <w:proofErr w:type="spellEnd"/>
      <w:r w:rsidRPr="0053220C">
        <w:rPr>
          <w:rFonts w:ascii="Times New Roman" w:eastAsia="Times New Roman" w:hAnsi="Times New Roman" w:cs="Times New Roman"/>
          <w:sz w:val="28"/>
          <w:szCs w:val="28"/>
        </w:rPr>
        <w:t xml:space="preserve"> Yurtlar Yönergesi, Öğrenci Disiplin Yönetmeliği) yapılmasına yol açar. </w:t>
      </w:r>
    </w:p>
    <w:p w:rsidR="005E274F" w:rsidRPr="0053220C" w:rsidRDefault="005E274F" w:rsidP="005E274F">
      <w:pPr>
        <w:spacing w:after="0"/>
        <w:jc w:val="both"/>
        <w:rPr>
          <w:rFonts w:ascii="Times New Roman" w:eastAsia="Times New Roman" w:hAnsi="Times New Roman" w:cs="Times New Roman"/>
          <w:b/>
          <w:bCs/>
          <w:sz w:val="28"/>
          <w:szCs w:val="28"/>
        </w:rPr>
      </w:pPr>
      <w:proofErr w:type="spellStart"/>
      <w:r w:rsidRPr="0053220C">
        <w:rPr>
          <w:rFonts w:ascii="Times New Roman" w:eastAsia="Times New Roman" w:hAnsi="Times New Roman" w:cs="Times New Roman"/>
          <w:b/>
          <w:bCs/>
          <w:sz w:val="28"/>
          <w:szCs w:val="28"/>
        </w:rPr>
        <w:t>Made</w:t>
      </w:r>
      <w:proofErr w:type="spellEnd"/>
      <w:r w:rsidRPr="0053220C">
        <w:rPr>
          <w:rFonts w:ascii="Times New Roman" w:eastAsia="Times New Roman" w:hAnsi="Times New Roman" w:cs="Times New Roman"/>
          <w:b/>
          <w:bCs/>
          <w:sz w:val="28"/>
          <w:szCs w:val="28"/>
        </w:rPr>
        <w:t xml:space="preserve"> 12 - ÜCRETLER:</w:t>
      </w:r>
    </w:p>
    <w:p w:rsidR="005E274F" w:rsidRPr="0053220C" w:rsidRDefault="005E274F" w:rsidP="005E274F">
      <w:pPr>
        <w:spacing w:after="0"/>
        <w:jc w:val="both"/>
        <w:rPr>
          <w:rFonts w:ascii="Times New Roman" w:eastAsia="Times New Roman" w:hAnsi="Times New Roman" w:cs="Times New Roman"/>
          <w:sz w:val="28"/>
          <w:szCs w:val="28"/>
        </w:rPr>
      </w:pPr>
      <w:r w:rsidRPr="0053220C">
        <w:rPr>
          <w:rFonts w:ascii="Times New Roman" w:eastAsia="Times New Roman" w:hAnsi="Times New Roman" w:cs="Times New Roman"/>
          <w:bCs/>
          <w:sz w:val="28"/>
          <w:szCs w:val="28"/>
        </w:rPr>
        <w:t>Öğrenci; Işık Üniversitesi yurtlarında kalmak üzere başvuru yaptığı andan itibaren doğacak olan tüm maddi sorumlulukları</w:t>
      </w:r>
      <w:r w:rsidRPr="0053220C">
        <w:rPr>
          <w:rFonts w:ascii="Times New Roman" w:eastAsia="Times New Roman" w:hAnsi="Times New Roman" w:cs="Times New Roman"/>
          <w:sz w:val="28"/>
          <w:szCs w:val="28"/>
        </w:rPr>
        <w:t xml:space="preserve"> yerine getirmekle yükümlüdür. Işık Üniversitesi Yurtlar Yönergesinde belirtilen ücret iade koşullarını kabul etmiş sayılmaktadır.</w:t>
      </w:r>
    </w:p>
    <w:p w:rsidR="005E274F" w:rsidRDefault="005E274F" w:rsidP="005E274F">
      <w:pPr>
        <w:spacing w:before="100" w:beforeAutospacing="1" w:after="100" w:afterAutospacing="1" w:line="240" w:lineRule="auto"/>
        <w:jc w:val="both"/>
        <w:rPr>
          <w:rFonts w:ascii="Times New Roman" w:eastAsia="Times New Roman" w:hAnsi="Times New Roman" w:cs="Times New Roman"/>
          <w:sz w:val="28"/>
          <w:szCs w:val="28"/>
        </w:rPr>
      </w:pPr>
      <w:r w:rsidRPr="0053220C">
        <w:rPr>
          <w:rFonts w:ascii="Times New Roman" w:eastAsia="Times New Roman" w:hAnsi="Times New Roman" w:cs="Times New Roman"/>
          <w:b/>
          <w:bCs/>
          <w:i/>
          <w:iCs/>
          <w:sz w:val="28"/>
          <w:szCs w:val="28"/>
        </w:rPr>
        <w:t>Yukarıda belirtilen koşul ve kuralları okudum ve bunlara uymayı kabul ve taahhüt ediyorum. Ayrıca, bu belge ile birlikte, Işık Üniversitesi tarafından düzenlenmiş veya düzenlenecek olan yurt yaşamını ilgilendiren diğer kural ve düzenlemelere de uymayı kabul ve taahhüt ediyorum.</w:t>
      </w:r>
      <w:r w:rsidRPr="005322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ype="page"/>
      </w:r>
    </w:p>
    <w:p w:rsidR="005E274F" w:rsidRPr="0053220C" w:rsidRDefault="005E274F" w:rsidP="005E274F">
      <w:pPr>
        <w:spacing w:before="100" w:beforeAutospacing="1" w:after="100" w:afterAutospacing="1"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3525"/>
        <w:gridCol w:w="4991"/>
      </w:tblGrid>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ODA NO</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AD – SOYAD</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TC KİMLİK NO</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ÖĞRENCİ NO</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FAKÜLTE/BÖLÜM</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TARİH</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567"/>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CEP TELEFON NO</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818"/>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ANNE-BABA</w:t>
            </w:r>
            <w:r>
              <w:rPr>
                <w:rFonts w:ascii="Times New Roman" w:eastAsia="Calibri" w:hAnsi="Times New Roman" w:cs="Times New Roman"/>
                <w:sz w:val="28"/>
                <w:szCs w:val="28"/>
              </w:rPr>
              <w:t xml:space="preserve"> </w:t>
            </w:r>
            <w:r w:rsidRPr="0053220C">
              <w:rPr>
                <w:rFonts w:ascii="Times New Roman" w:eastAsia="Calibri" w:hAnsi="Times New Roman" w:cs="Times New Roman"/>
                <w:sz w:val="28"/>
                <w:szCs w:val="28"/>
              </w:rPr>
              <w:t>ADI-SOYADI TELEFON NO</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812"/>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ÖĞRENCİ İMZA</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r w:rsidR="005E274F" w:rsidRPr="0053220C" w:rsidTr="00CE2362">
        <w:trPr>
          <w:trHeight w:val="1819"/>
        </w:trPr>
        <w:tc>
          <w:tcPr>
            <w:tcW w:w="3652" w:type="dxa"/>
            <w:vAlign w:val="center"/>
          </w:tcPr>
          <w:p w:rsidR="005E274F" w:rsidRPr="0053220C" w:rsidRDefault="005E274F" w:rsidP="00CE2362">
            <w:pPr>
              <w:jc w:val="both"/>
              <w:rPr>
                <w:rFonts w:ascii="Times New Roman" w:eastAsia="Calibri" w:hAnsi="Times New Roman" w:cs="Times New Roman"/>
                <w:sz w:val="28"/>
                <w:szCs w:val="28"/>
              </w:rPr>
            </w:pPr>
            <w:r w:rsidRPr="0053220C">
              <w:rPr>
                <w:rFonts w:ascii="Times New Roman" w:eastAsia="Calibri" w:hAnsi="Times New Roman" w:cs="Times New Roman"/>
                <w:sz w:val="28"/>
                <w:szCs w:val="28"/>
              </w:rPr>
              <w:t>GÖREVLİ İMZA</w:t>
            </w:r>
          </w:p>
        </w:tc>
        <w:tc>
          <w:tcPr>
            <w:tcW w:w="5636" w:type="dxa"/>
            <w:vAlign w:val="center"/>
          </w:tcPr>
          <w:p w:rsidR="005E274F" w:rsidRPr="0053220C" w:rsidRDefault="005E274F" w:rsidP="00CE2362">
            <w:pPr>
              <w:jc w:val="both"/>
              <w:rPr>
                <w:rFonts w:ascii="Times New Roman" w:eastAsia="Calibri" w:hAnsi="Times New Roman" w:cs="Times New Roman"/>
                <w:sz w:val="28"/>
                <w:szCs w:val="28"/>
              </w:rPr>
            </w:pPr>
          </w:p>
        </w:tc>
      </w:tr>
    </w:tbl>
    <w:p w:rsidR="005E274F" w:rsidRPr="00E45644" w:rsidRDefault="005E274F" w:rsidP="005E274F">
      <w:pPr>
        <w:jc w:val="both"/>
        <w:rPr>
          <w:rFonts w:ascii="Arial Narrow" w:hAnsi="Arial Narrow"/>
          <w:sz w:val="24"/>
          <w:szCs w:val="24"/>
        </w:rPr>
      </w:pPr>
    </w:p>
    <w:p w:rsidR="00A61116" w:rsidRDefault="00A61116"/>
    <w:sectPr w:rsidR="00A61116" w:rsidSect="00210B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4F"/>
    <w:rsid w:val="00210B9B"/>
    <w:rsid w:val="005E274F"/>
    <w:rsid w:val="00A6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C7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4F"/>
    <w:pPr>
      <w:spacing w:after="200" w:line="276" w:lineRule="auto"/>
    </w:pPr>
    <w:rPr>
      <w:rFonts w:eastAsiaTheme="minorHAnsi"/>
      <w:sz w:val="22"/>
      <w:szCs w:val="22"/>
      <w:lang w:val="tr-TR"/>
    </w:rPr>
  </w:style>
  <w:style w:type="paragraph" w:styleId="Heading2">
    <w:name w:val="heading 2"/>
    <w:basedOn w:val="Normal"/>
    <w:next w:val="Normal"/>
    <w:link w:val="Heading2Char"/>
    <w:autoRedefine/>
    <w:uiPriority w:val="9"/>
    <w:unhideWhenUsed/>
    <w:qFormat/>
    <w:rsid w:val="005E274F"/>
    <w:pPr>
      <w:keepNext/>
      <w:keepLines/>
      <w:spacing w:after="270" w:line="390" w:lineRule="atLeast"/>
      <w:jc w:val="both"/>
      <w:textAlignment w:val="baseline"/>
      <w:outlineLvl w:val="1"/>
    </w:pPr>
    <w:rPr>
      <w:rFonts w:ascii="Times New Roman" w:eastAsiaTheme="majorEastAsia" w:hAnsi="Times New Roman" w:cs="Times New Roman"/>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74F"/>
    <w:rPr>
      <w:rFonts w:ascii="Times New Roman" w:eastAsiaTheme="majorEastAsia" w:hAnsi="Times New Roman" w:cs="Times New Roman"/>
      <w:b/>
      <w:bCs/>
      <w:color w:val="FF0000"/>
      <w:sz w:val="28"/>
      <w:szCs w:val="28"/>
      <w:lang w:val="tr-TR"/>
    </w:rPr>
  </w:style>
  <w:style w:type="table" w:styleId="TableGrid">
    <w:name w:val="Table Grid"/>
    <w:basedOn w:val="TableNormal"/>
    <w:uiPriority w:val="59"/>
    <w:rsid w:val="005E274F"/>
    <w:rPr>
      <w:sz w:val="22"/>
      <w:szCs w:val="22"/>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4F"/>
    <w:pPr>
      <w:spacing w:after="200" w:line="276" w:lineRule="auto"/>
    </w:pPr>
    <w:rPr>
      <w:rFonts w:eastAsiaTheme="minorHAnsi"/>
      <w:sz w:val="22"/>
      <w:szCs w:val="22"/>
      <w:lang w:val="tr-TR"/>
    </w:rPr>
  </w:style>
  <w:style w:type="paragraph" w:styleId="Heading2">
    <w:name w:val="heading 2"/>
    <w:basedOn w:val="Normal"/>
    <w:next w:val="Normal"/>
    <w:link w:val="Heading2Char"/>
    <w:autoRedefine/>
    <w:uiPriority w:val="9"/>
    <w:unhideWhenUsed/>
    <w:qFormat/>
    <w:rsid w:val="005E274F"/>
    <w:pPr>
      <w:keepNext/>
      <w:keepLines/>
      <w:spacing w:after="270" w:line="390" w:lineRule="atLeast"/>
      <w:jc w:val="both"/>
      <w:textAlignment w:val="baseline"/>
      <w:outlineLvl w:val="1"/>
    </w:pPr>
    <w:rPr>
      <w:rFonts w:ascii="Times New Roman" w:eastAsiaTheme="majorEastAsia" w:hAnsi="Times New Roman" w:cs="Times New Roman"/>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74F"/>
    <w:rPr>
      <w:rFonts w:ascii="Times New Roman" w:eastAsiaTheme="majorEastAsia" w:hAnsi="Times New Roman" w:cs="Times New Roman"/>
      <w:b/>
      <w:bCs/>
      <w:color w:val="FF0000"/>
      <w:sz w:val="28"/>
      <w:szCs w:val="28"/>
      <w:lang w:val="tr-TR"/>
    </w:rPr>
  </w:style>
  <w:style w:type="table" w:styleId="TableGrid">
    <w:name w:val="Table Grid"/>
    <w:basedOn w:val="TableNormal"/>
    <w:uiPriority w:val="59"/>
    <w:rsid w:val="005E274F"/>
    <w:rPr>
      <w:sz w:val="22"/>
      <w:szCs w:val="22"/>
      <w:lang w:val="tr-TR"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775</Words>
  <Characters>4420</Characters>
  <Application>Microsoft Macintosh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SAVÇIN</dc:creator>
  <cp:keywords/>
  <dc:description/>
  <cp:lastModifiedBy>Mert SAVÇIN</cp:lastModifiedBy>
  <cp:revision>1</cp:revision>
  <dcterms:created xsi:type="dcterms:W3CDTF">2015-05-14T10:38:00Z</dcterms:created>
  <dcterms:modified xsi:type="dcterms:W3CDTF">2015-05-14T10:39:00Z</dcterms:modified>
</cp:coreProperties>
</file>